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3" w:rsidRDefault="00AF1432">
      <w:pPr>
        <w:pStyle w:val="cmjNASLOV"/>
      </w:pPr>
      <w:r>
        <w:t xml:space="preserve">Pojavni difuzijski koeficijent mjeren na području cijele površine tumora bolje predviđa odgovor tumora rektuma na neoadjuvantnu kemoradioterapiju </w:t>
      </w:r>
    </w:p>
    <w:p w:rsidR="00F42F93" w:rsidRDefault="00AF1432">
      <w:pPr>
        <w:pStyle w:val="cmjTEXT"/>
      </w:pPr>
      <w:r>
        <w:rPr>
          <w:rFonts w:cs="Segoe UI"/>
          <w:b/>
        </w:rPr>
        <w:t>Cilj</w:t>
      </w:r>
      <w:r>
        <w:rPr>
          <w:rFonts w:cs="Segoe UI"/>
        </w:rPr>
        <w:t xml:space="preserve"> Odrediti kako dvije različite tehnike za mjerenje pojavnog difuzijskog koeficijenta </w:t>
      </w:r>
      <w:r>
        <w:t xml:space="preserve">(prema engl. </w:t>
      </w:r>
      <w:proofErr w:type="spellStart"/>
      <w:r>
        <w:rPr>
          <w:i/>
        </w:rPr>
        <w:t>apparent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diffusion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coefficient</w:t>
      </w:r>
      <w:proofErr w:type="spellEnd"/>
      <w:r>
        <w:t>, ADC) utječu na procjenu</w:t>
      </w:r>
      <w:r>
        <w:rPr>
          <w:b/>
        </w:rPr>
        <w:t xml:space="preserve"> </w:t>
      </w:r>
      <w:r>
        <w:t xml:space="preserve">odgovora tumora rektuma na </w:t>
      </w:r>
      <w:proofErr w:type="spellStart"/>
      <w:r>
        <w:t>neoadjuvantnu</w:t>
      </w:r>
      <w:proofErr w:type="spellEnd"/>
      <w:r>
        <w:t xml:space="preserve"> </w:t>
      </w:r>
      <w:proofErr w:type="spellStart"/>
      <w:r>
        <w:t>kemoradioterapiju</w:t>
      </w:r>
      <w:proofErr w:type="spellEnd"/>
      <w:r>
        <w:t xml:space="preserve"> (prema engl. </w:t>
      </w:r>
      <w:proofErr w:type="spellStart"/>
      <w:r>
        <w:t>c</w:t>
      </w:r>
      <w:r>
        <w:rPr>
          <w:rFonts w:cs="Segoe UI"/>
          <w:i/>
        </w:rPr>
        <w:t>hemoradiotherapy</w:t>
      </w:r>
      <w:proofErr w:type="spellEnd"/>
      <w:r>
        <w:rPr>
          <w:rFonts w:cs="Segoe UI"/>
          <w:i/>
        </w:rPr>
        <w:t>,</w:t>
      </w:r>
      <w:r>
        <w:t xml:space="preserve"> CRT) na difuzijskim snimkama magnetske rezonancije.</w:t>
      </w:r>
    </w:p>
    <w:p w:rsidR="00F42F93" w:rsidRDefault="00AF1432">
      <w:pPr>
        <w:pStyle w:val="cmjTEXT"/>
      </w:pPr>
      <w:r>
        <w:rPr>
          <w:rFonts w:cs="Segoe UI"/>
          <w:b/>
          <w:iCs/>
        </w:rPr>
        <w:t xml:space="preserve">Postupci </w:t>
      </w:r>
      <w:r>
        <w:rPr>
          <w:rFonts w:cs="Segoe UI"/>
          <w:iCs/>
        </w:rPr>
        <w:t xml:space="preserve">ADC je mjeren </w:t>
      </w:r>
      <w:proofErr w:type="spellStart"/>
      <w:r>
        <w:rPr>
          <w:rFonts w:cs="Segoe UI"/>
          <w:iCs/>
        </w:rPr>
        <w:t>prospektivno</w:t>
      </w:r>
      <w:proofErr w:type="spellEnd"/>
      <w:r>
        <w:rPr>
          <w:rFonts w:cs="Segoe UI"/>
          <w:iCs/>
        </w:rPr>
        <w:t xml:space="preserve"> uz pomoć dvaju tehnik</w:t>
      </w:r>
      <w:r>
        <w:rPr>
          <w:rFonts w:cs="Segoe UI"/>
          <w:iCs/>
        </w:rPr>
        <w:t xml:space="preserve">a – </w:t>
      </w:r>
      <w:r>
        <w:rPr>
          <w:rFonts w:cs="Segoe UI"/>
        </w:rPr>
        <w:t xml:space="preserve">prve, koja mjeri ADC u dijelovima tumora s najviše stanica, </w:t>
      </w:r>
      <w:r>
        <w:rPr>
          <w:rFonts w:cs="Segoe UI"/>
          <w:iCs/>
        </w:rPr>
        <w:t xml:space="preserve">i druge, </w:t>
      </w:r>
      <w:r>
        <w:rPr>
          <w:rFonts w:cs="Segoe UI"/>
        </w:rPr>
        <w:t>koja mjeri područje cijelog tumora, na snimkama</w:t>
      </w:r>
      <w:r>
        <w:rPr>
          <w:rFonts w:cs="Segoe UI"/>
          <w:iCs/>
        </w:rPr>
        <w:t xml:space="preserve"> 58 pacijenata s lokalno proširenim tumorom rektuma</w:t>
      </w:r>
      <w:r>
        <w:rPr>
          <w:rFonts w:cs="Segoe UI"/>
        </w:rPr>
        <w:t xml:space="preserve"> prije i nakon CRT. Za obje tehnike odredili smo područja ispod ROC krivulje (prema e</w:t>
      </w:r>
      <w:r>
        <w:rPr>
          <w:rFonts w:cs="Segoe UI"/>
        </w:rPr>
        <w:t xml:space="preserve">ngl. </w:t>
      </w:r>
      <w:proofErr w:type="spellStart"/>
      <w:r>
        <w:rPr>
          <w:rFonts w:cs="Segoe UI"/>
          <w:i/>
          <w:iCs/>
        </w:rPr>
        <w:t>areas</w:t>
      </w:r>
      <w:proofErr w:type="spellEnd"/>
      <w:r>
        <w:rPr>
          <w:rFonts w:cs="Segoe UI"/>
          <w:i/>
          <w:iCs/>
        </w:rPr>
        <w:t xml:space="preserve"> </w:t>
      </w:r>
      <w:proofErr w:type="spellStart"/>
      <w:r>
        <w:rPr>
          <w:rFonts w:cs="Segoe UI"/>
          <w:i/>
          <w:iCs/>
        </w:rPr>
        <w:t>under</w:t>
      </w:r>
      <w:proofErr w:type="spellEnd"/>
      <w:r>
        <w:rPr>
          <w:rFonts w:cs="Segoe UI"/>
          <w:i/>
          <w:iCs/>
        </w:rPr>
        <w:t xml:space="preserve"> </w:t>
      </w:r>
      <w:proofErr w:type="spellStart"/>
      <w:r>
        <w:rPr>
          <w:rFonts w:cs="Segoe UI"/>
          <w:i/>
        </w:rPr>
        <w:t>receiver</w:t>
      </w:r>
      <w:proofErr w:type="spellEnd"/>
      <w:r>
        <w:rPr>
          <w:rFonts w:cs="Segoe UI"/>
          <w:i/>
        </w:rPr>
        <w:t xml:space="preserve"> </w:t>
      </w:r>
      <w:proofErr w:type="spellStart"/>
      <w:r>
        <w:rPr>
          <w:rFonts w:cs="Segoe UI"/>
          <w:i/>
        </w:rPr>
        <w:t>operating</w:t>
      </w:r>
      <w:proofErr w:type="spellEnd"/>
      <w:r>
        <w:rPr>
          <w:rFonts w:cs="Segoe UI"/>
          <w:i/>
        </w:rPr>
        <w:t xml:space="preserve"> </w:t>
      </w:r>
      <w:proofErr w:type="spellStart"/>
      <w:r>
        <w:rPr>
          <w:rFonts w:cs="Segoe UI"/>
          <w:i/>
        </w:rPr>
        <w:t>characteristic</w:t>
      </w:r>
      <w:proofErr w:type="spellEnd"/>
      <w:r>
        <w:rPr>
          <w:rFonts w:cs="Segoe UI"/>
          <w:i/>
        </w:rPr>
        <w:t xml:space="preserve"> </w:t>
      </w:r>
      <w:proofErr w:type="spellStart"/>
      <w:r>
        <w:rPr>
          <w:rFonts w:cs="Segoe UI"/>
          <w:i/>
        </w:rPr>
        <w:t>curve</w:t>
      </w:r>
      <w:proofErr w:type="spellEnd"/>
      <w:r>
        <w:rPr>
          <w:rFonts w:cs="Segoe UI"/>
          <w:i/>
        </w:rPr>
        <w:t>,</w:t>
      </w:r>
      <w:r>
        <w:rPr>
          <w:rFonts w:cs="Segoe UI"/>
        </w:rPr>
        <w:t xml:space="preserve"> AUC) i parametre dijagnostičke točnosti za ADC vrijednosti prije i nakon CRT</w:t>
      </w:r>
      <w:r w:rsidR="00BE681C">
        <w:rPr>
          <w:rFonts w:cs="Segoe UI"/>
        </w:rPr>
        <w:t>,</w:t>
      </w:r>
      <w:r>
        <w:rPr>
          <w:rFonts w:cs="Segoe UI"/>
        </w:rPr>
        <w:t xml:space="preserve"> te brojčanu i postotnu promjenu ADC kako bismo utvrdili </w:t>
      </w:r>
      <w:r w:rsidR="00BE681C">
        <w:rPr>
          <w:rFonts w:cs="Segoe UI"/>
        </w:rPr>
        <w:t xml:space="preserve">koliko </w:t>
      </w:r>
      <w:r w:rsidR="00D21E36">
        <w:rPr>
          <w:rFonts w:cs="Segoe UI"/>
        </w:rPr>
        <w:t>uspješno</w:t>
      </w:r>
      <w:r w:rsidR="00BE681C">
        <w:rPr>
          <w:rFonts w:cs="Segoe UI"/>
        </w:rPr>
        <w:t xml:space="preserve"> one </w:t>
      </w:r>
      <w:r>
        <w:rPr>
          <w:rFonts w:cs="Segoe UI"/>
        </w:rPr>
        <w:t>procje</w:t>
      </w:r>
      <w:r w:rsidR="00D21E36">
        <w:rPr>
          <w:rFonts w:cs="Segoe UI"/>
        </w:rPr>
        <w:t>njuju</w:t>
      </w:r>
      <w:r>
        <w:rPr>
          <w:rFonts w:cs="Segoe UI"/>
        </w:rPr>
        <w:t xml:space="preserve"> odgovor</w:t>
      </w:r>
      <w:r w:rsidR="00D21E36">
        <w:rPr>
          <w:rFonts w:cs="Segoe UI"/>
        </w:rPr>
        <w:t xml:space="preserve"> </w:t>
      </w:r>
      <w:r>
        <w:rPr>
          <w:rFonts w:cs="Segoe UI"/>
        </w:rPr>
        <w:t>tumora</w:t>
      </w:r>
      <w:r w:rsidR="00D21E36">
        <w:rPr>
          <w:rFonts w:cs="Segoe UI"/>
        </w:rPr>
        <w:t>,</w:t>
      </w:r>
      <w:r>
        <w:rPr>
          <w:rFonts w:cs="Segoe UI"/>
        </w:rPr>
        <w:t xml:space="preserve"> koristeći </w:t>
      </w:r>
      <w:proofErr w:type="spellStart"/>
      <w:r>
        <w:rPr>
          <w:rFonts w:cs="Segoe UI"/>
        </w:rPr>
        <w:t>histopato</w:t>
      </w:r>
      <w:r>
        <w:rPr>
          <w:rFonts w:cs="Segoe UI"/>
        </w:rPr>
        <w:t>loški</w:t>
      </w:r>
      <w:proofErr w:type="spellEnd"/>
      <w:r>
        <w:rPr>
          <w:rFonts w:cs="Segoe UI"/>
        </w:rPr>
        <w:t xml:space="preserve"> stupanj tumorske regresije kao referen</w:t>
      </w:r>
      <w:r w:rsidR="00BE681C">
        <w:rPr>
          <w:rFonts w:cs="Segoe UI"/>
        </w:rPr>
        <w:t>tnu vrijednost</w:t>
      </w:r>
      <w:r>
        <w:rPr>
          <w:rFonts w:cs="Segoe UI"/>
        </w:rPr>
        <w:t>.</w:t>
      </w:r>
    </w:p>
    <w:p w:rsidR="00F42F93" w:rsidRDefault="00AF1432">
      <w:pPr>
        <w:pStyle w:val="cmjTEXT"/>
      </w:pPr>
      <w:r>
        <w:rPr>
          <w:rFonts w:cs="Segoe UI"/>
          <w:b/>
          <w:iCs/>
        </w:rPr>
        <w:t xml:space="preserve">Rezultati </w:t>
      </w:r>
      <w:r>
        <w:rPr>
          <w:rFonts w:cs="Segoe UI"/>
          <w:iCs/>
        </w:rPr>
        <w:t>Druga tehnika</w:t>
      </w:r>
      <w:r>
        <w:rPr>
          <w:rFonts w:cs="Segoe UI"/>
          <w:b/>
          <w:iCs/>
        </w:rPr>
        <w:t xml:space="preserve"> </w:t>
      </w:r>
      <w:r w:rsidR="00BE681C">
        <w:rPr>
          <w:rFonts w:cs="Segoe UI"/>
        </w:rPr>
        <w:t>pokazala</w:t>
      </w:r>
      <w:r>
        <w:rPr>
          <w:rFonts w:cs="Segoe UI"/>
        </w:rPr>
        <w:t xml:space="preserve"> je više AUC vrijednosti (0,935 </w:t>
      </w:r>
      <w:proofErr w:type="spellStart"/>
      <w:r>
        <w:rPr>
          <w:rFonts w:cs="Segoe UI"/>
        </w:rPr>
        <w:t>vs</w:t>
      </w:r>
      <w:proofErr w:type="spellEnd"/>
      <w:r>
        <w:rPr>
          <w:rFonts w:cs="Segoe UI"/>
        </w:rPr>
        <w:t xml:space="preserve"> 0,704, </w:t>
      </w:r>
      <w:r>
        <w:rPr>
          <w:rFonts w:cs="Segoe UI"/>
          <w:i/>
        </w:rPr>
        <w:t>P</w:t>
      </w:r>
      <w:r>
        <w:rPr>
          <w:rFonts w:cs="Segoe UI"/>
        </w:rPr>
        <w:t xml:space="preserve">&lt;0,001), višu postotnu (0,828 </w:t>
      </w:r>
      <w:proofErr w:type="spellStart"/>
      <w:r>
        <w:rPr>
          <w:rFonts w:cs="Segoe UI"/>
        </w:rPr>
        <w:t>vs</w:t>
      </w:r>
      <w:proofErr w:type="spellEnd"/>
      <w:r>
        <w:rPr>
          <w:rFonts w:cs="Segoe UI"/>
        </w:rPr>
        <w:t xml:space="preserve"> 0,636, </w:t>
      </w:r>
      <w:r>
        <w:rPr>
          <w:rFonts w:cs="Segoe UI"/>
          <w:i/>
        </w:rPr>
        <w:t>P</w:t>
      </w:r>
      <w:r>
        <w:rPr>
          <w:rFonts w:cs="Segoe UI"/>
        </w:rPr>
        <w:t>&lt;0,001) i višu brojčanu promjenu ADC</w:t>
      </w:r>
      <w:r>
        <w:rPr>
          <w:rFonts w:cs="Segoe UI"/>
        </w:rPr>
        <w:t xml:space="preserve"> (0,866 </w:t>
      </w:r>
      <w:proofErr w:type="spellStart"/>
      <w:r>
        <w:rPr>
          <w:rFonts w:cs="Segoe UI"/>
        </w:rPr>
        <w:t>vs</w:t>
      </w:r>
      <w:proofErr w:type="spellEnd"/>
      <w:r>
        <w:rPr>
          <w:rFonts w:cs="Segoe UI"/>
        </w:rPr>
        <w:t xml:space="preserve"> 0,653, </w:t>
      </w:r>
      <w:r>
        <w:rPr>
          <w:rFonts w:cs="Segoe UI"/>
          <w:i/>
        </w:rPr>
        <w:t>P</w:t>
      </w:r>
      <w:r>
        <w:rPr>
          <w:rFonts w:cs="Segoe UI"/>
        </w:rPr>
        <w:t xml:space="preserve">&lt;0,001) nego prva tehnika na snimkama </w:t>
      </w:r>
      <w:r>
        <w:rPr>
          <w:rFonts w:cs="Segoe UI"/>
        </w:rPr>
        <w:t xml:space="preserve">nakon CRT. Točnost prve tehnike za procjenu ADC nakon CRT bila je 62%, a točnost druge tehnike </w:t>
      </w:r>
      <w:r>
        <w:rPr>
          <w:rFonts w:cs="Segoe UI"/>
        </w:rPr>
        <w:t xml:space="preserve">je </w:t>
      </w:r>
      <w:r>
        <w:rPr>
          <w:rFonts w:cs="Segoe UI"/>
        </w:rPr>
        <w:t xml:space="preserve">bila </w:t>
      </w:r>
      <w:r>
        <w:rPr>
          <w:rFonts w:cs="Segoe UI"/>
        </w:rPr>
        <w:t>88% (granične vrijednosti: 0,98 odnosno 1,29×10</w:t>
      </w:r>
      <w:r>
        <w:rPr>
          <w:rFonts w:cs="Segoe UI"/>
          <w:vertAlign w:val="superscript"/>
        </w:rPr>
        <w:t>-3</w:t>
      </w:r>
      <w:r>
        <w:rPr>
          <w:rStyle w:val="apple-converted-space"/>
          <w:rFonts w:cs="Segoe UI"/>
          <w:vertAlign w:val="superscript"/>
        </w:rPr>
        <w:t> </w:t>
      </w:r>
      <w:r>
        <w:rPr>
          <w:rFonts w:cs="Segoe UI"/>
        </w:rPr>
        <w:t>mm</w:t>
      </w:r>
      <w:r>
        <w:rPr>
          <w:rFonts w:cs="Segoe UI"/>
          <w:vertAlign w:val="superscript"/>
        </w:rPr>
        <w:t>2</w:t>
      </w:r>
      <w:r>
        <w:rPr>
          <w:rFonts w:cs="Segoe UI"/>
        </w:rPr>
        <w:t>/s). Točnost prve tehnike za procjenu promjene ADC, kako numeričk</w:t>
      </w:r>
      <w:r w:rsidR="00BE681C">
        <w:rPr>
          <w:rFonts w:cs="Segoe UI"/>
        </w:rPr>
        <w:t>e</w:t>
      </w:r>
      <w:r>
        <w:rPr>
          <w:rFonts w:cs="Segoe UI"/>
        </w:rPr>
        <w:t xml:space="preserve"> tako i postotn</w:t>
      </w:r>
      <w:r w:rsidR="00BE681C">
        <w:rPr>
          <w:rFonts w:cs="Segoe UI"/>
        </w:rPr>
        <w:t>e</w:t>
      </w:r>
      <w:r>
        <w:rPr>
          <w:rFonts w:cs="Segoe UI"/>
        </w:rPr>
        <w:t>, bila je 59%, a t</w:t>
      </w:r>
      <w:r>
        <w:rPr>
          <w:rFonts w:cs="Segoe UI"/>
        </w:rPr>
        <w:t>očnost druge tehnike je bila 74% (granične vrijednosti: porast od 0,18 i 0,28×10</w:t>
      </w:r>
      <w:r>
        <w:rPr>
          <w:rFonts w:cs="Segoe UI"/>
          <w:vertAlign w:val="superscript"/>
        </w:rPr>
        <w:t>-3</w:t>
      </w:r>
      <w:r>
        <w:rPr>
          <w:rStyle w:val="apple-converted-space"/>
          <w:rFonts w:cs="Segoe UI"/>
          <w:vertAlign w:val="superscript"/>
        </w:rPr>
        <w:t> </w:t>
      </w:r>
      <w:r>
        <w:rPr>
          <w:rFonts w:cs="Segoe UI"/>
        </w:rPr>
        <w:t>mm</w:t>
      </w:r>
      <w:r>
        <w:rPr>
          <w:rFonts w:cs="Segoe UI"/>
          <w:vertAlign w:val="superscript"/>
        </w:rPr>
        <w:t>2</w:t>
      </w:r>
      <w:r>
        <w:rPr>
          <w:rFonts w:cs="Segoe UI"/>
        </w:rPr>
        <w:t>/s; odnosno porast od 24% i37%).</w:t>
      </w:r>
    </w:p>
    <w:p w:rsidR="00F42F93" w:rsidRDefault="00AF1432">
      <w:pPr>
        <w:pStyle w:val="cmjTEXT"/>
      </w:pPr>
      <w:r>
        <w:rPr>
          <w:rFonts w:cs="Segoe UI"/>
          <w:b/>
        </w:rPr>
        <w:t xml:space="preserve">Zaključak </w:t>
      </w:r>
      <w:r>
        <w:rPr>
          <w:rFonts w:cs="Segoe UI"/>
        </w:rPr>
        <w:t>Vrsta tehnike</w:t>
      </w:r>
      <w:r>
        <w:rPr>
          <w:rFonts w:cs="Segoe UI"/>
          <w:b/>
        </w:rPr>
        <w:t xml:space="preserve"> </w:t>
      </w:r>
      <w:r>
        <w:rPr>
          <w:rFonts w:cs="Segoe UI"/>
        </w:rPr>
        <w:t>značajno je utjecala na procjenu ADC. ADC mjeren na većoj površini tumora bolje je predvidio odgovor tumora na te</w:t>
      </w:r>
      <w:r>
        <w:rPr>
          <w:rFonts w:cs="Segoe UI"/>
        </w:rPr>
        <w:t xml:space="preserve">rapiju. ADC vrijednosti nakon CRT, bez obzira na tehniku mjerenja i brojčana promjena ADC mjerena na cijelom području tumora točno je identificirala pacijente koji </w:t>
      </w:r>
      <w:r>
        <w:rPr>
          <w:rFonts w:cs="Segoe UI"/>
        </w:rPr>
        <w:t>nisu imali potpun odgovor</w:t>
      </w:r>
      <w:bookmarkStart w:id="0" w:name="_GoBack"/>
      <w:bookmarkEnd w:id="0"/>
      <w:r w:rsidR="00D21E36">
        <w:rPr>
          <w:rFonts w:cs="Segoe UI"/>
        </w:rPr>
        <w:t xml:space="preserve"> na liječenje</w:t>
      </w:r>
      <w:r>
        <w:rPr>
          <w:rFonts w:cs="Segoe UI"/>
        </w:rPr>
        <w:t>. ADC vrijednosti mjerene na području cijele površine tu</w:t>
      </w:r>
      <w:r>
        <w:rPr>
          <w:rFonts w:cs="Segoe UI"/>
        </w:rPr>
        <w:t xml:space="preserve">mora, nakon CRT, najtočnije su procijenile odgovor tumora na liječenje. </w:t>
      </w:r>
    </w:p>
    <w:p w:rsidR="00F42F93" w:rsidRDefault="00F42F93">
      <w:pPr>
        <w:pStyle w:val="cmjTEXT"/>
      </w:pPr>
    </w:p>
    <w:p w:rsidR="00F42F93" w:rsidRDefault="00F42F93">
      <w:pPr>
        <w:pStyle w:val="cmjAUTORI"/>
        <w:rPr>
          <w:vertAlign w:val="superscript"/>
          <w:lang w:val="hr-HR"/>
        </w:rPr>
      </w:pPr>
    </w:p>
    <w:p w:rsidR="00F42F93" w:rsidRDefault="00F42F93">
      <w:pPr>
        <w:pStyle w:val="cmjREF"/>
        <w:rPr>
          <w:lang w:val="hr-HR"/>
        </w:rPr>
      </w:pPr>
    </w:p>
    <w:p w:rsidR="00F42F93" w:rsidRDefault="00F42F93">
      <w:pPr>
        <w:spacing w:line="360" w:lineRule="auto"/>
        <w:rPr>
          <w:color w:val="000000"/>
        </w:rPr>
      </w:pPr>
    </w:p>
    <w:p w:rsidR="00F42F93" w:rsidRDefault="00F42F93">
      <w:pPr>
        <w:pStyle w:val="Heading2"/>
        <w:spacing w:line="360" w:lineRule="auto"/>
        <w:jc w:val="left"/>
      </w:pPr>
    </w:p>
    <w:sectPr w:rsidR="00F42F93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32" w:rsidRDefault="00AF1432">
      <w:pPr>
        <w:spacing w:after="0" w:line="240" w:lineRule="auto"/>
      </w:pPr>
      <w:r>
        <w:separator/>
      </w:r>
    </w:p>
  </w:endnote>
  <w:endnote w:type="continuationSeparator" w:id="0">
    <w:p w:rsidR="00AF1432" w:rsidRDefault="00AF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93" w:rsidRDefault="00AF1432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42F93" w:rsidRDefault="00AF143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21E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F42F93" w:rsidRDefault="00AF143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21E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32" w:rsidRDefault="00AF1432">
      <w:pPr>
        <w:spacing w:after="0" w:line="240" w:lineRule="auto"/>
      </w:pPr>
      <w:r>
        <w:separator/>
      </w:r>
    </w:p>
  </w:footnote>
  <w:footnote w:type="continuationSeparator" w:id="0">
    <w:p w:rsidR="00AF1432" w:rsidRDefault="00AF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3"/>
    <w:rsid w:val="001065C8"/>
    <w:rsid w:val="00AF1432"/>
    <w:rsid w:val="00BE681C"/>
    <w:rsid w:val="00D21E36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8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character" w:customStyle="1" w:styleId="apple-converted-space">
    <w:name w:val="apple-converted-space"/>
    <w:qFormat/>
    <w:rsid w:val="00552814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8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character" w:customStyle="1" w:styleId="apple-converted-space">
    <w:name w:val="apple-converted-space"/>
    <w:qFormat/>
    <w:rsid w:val="00552814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2016-05-02T08:34:00Z</dcterms:created>
  <dcterms:modified xsi:type="dcterms:W3CDTF">2016-05-02T08:52:00Z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